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2"/>
        </w:rPr>
      </w:pPr>
      <w:r>
        <w:rPr>
          <w:rFonts w:hint="eastAsia" w:asciiTheme="minorEastAsia" w:hAnsiTheme="minorEastAsia"/>
          <w:b/>
          <w:sz w:val="28"/>
          <w:szCs w:val="28"/>
        </w:rPr>
        <w:t>附件2</w:t>
      </w:r>
      <w:r>
        <w:rPr>
          <w:rFonts w:hint="eastAsia"/>
          <w:b/>
          <w:sz w:val="36"/>
          <w:szCs w:val="32"/>
        </w:rPr>
        <w:t xml:space="preserve">             </w:t>
      </w:r>
    </w:p>
    <w:p>
      <w:pPr>
        <w:jc w:val="center"/>
        <w:rPr>
          <w:b/>
          <w:sz w:val="36"/>
          <w:szCs w:val="32"/>
        </w:rPr>
      </w:pPr>
      <w:r>
        <w:rPr>
          <w:rFonts w:hint="eastAsia"/>
          <w:b/>
          <w:sz w:val="36"/>
          <w:szCs w:val="32"/>
          <w:lang w:val="en-US" w:eastAsia="zh-CN"/>
        </w:rPr>
        <w:t>吉林省</w:t>
      </w:r>
      <w:bookmarkStart w:id="0" w:name="_GoBack"/>
      <w:bookmarkEnd w:id="0"/>
      <w:r>
        <w:rPr>
          <w:rFonts w:hint="eastAsia"/>
          <w:b/>
          <w:sz w:val="36"/>
          <w:szCs w:val="32"/>
        </w:rPr>
        <w:t>工伤保险医疗机构履约能力评估标准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准医疗机构名称：</w:t>
      </w:r>
    </w:p>
    <w:tbl>
      <w:tblPr>
        <w:tblStyle w:val="6"/>
        <w:tblW w:w="1500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01"/>
        <w:gridCol w:w="7801"/>
        <w:gridCol w:w="2099"/>
        <w:gridCol w:w="93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66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评估项目</w:t>
            </w:r>
          </w:p>
        </w:tc>
        <w:tc>
          <w:tcPr>
            <w:tcW w:w="24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评估内容</w:t>
            </w:r>
          </w:p>
        </w:tc>
        <w:tc>
          <w:tcPr>
            <w:tcW w:w="780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评估标准</w:t>
            </w:r>
          </w:p>
        </w:tc>
        <w:tc>
          <w:tcPr>
            <w:tcW w:w="2099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实地评估情况</w:t>
            </w:r>
          </w:p>
        </w:tc>
        <w:tc>
          <w:tcPr>
            <w:tcW w:w="93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6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一、基本情况（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24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（一）、法人</w:t>
            </w:r>
            <w:r>
              <w:rPr>
                <w:rFonts w:asciiTheme="minorEastAsia" w:hAnsiTheme="minorEastAsia"/>
                <w:sz w:val="24"/>
                <w:szCs w:val="24"/>
              </w:rPr>
              <w:t>经营时间</w:t>
            </w: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（5分）</w:t>
            </w: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1.医疗机构成立及法人经营时间满4年及以上，得5分；</w:t>
            </w:r>
          </w:p>
        </w:tc>
        <w:tc>
          <w:tcPr>
            <w:tcW w:w="2099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2.医疗机构成立及法人经营时间满3年不足4年，得4分；</w:t>
            </w:r>
          </w:p>
        </w:tc>
        <w:tc>
          <w:tcPr>
            <w:tcW w:w="209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3.医疗机构成立及法人经营时间满2年不足3年，得3分；</w:t>
            </w:r>
          </w:p>
        </w:tc>
        <w:tc>
          <w:tcPr>
            <w:tcW w:w="209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4.医疗机构成立及法人经营时间满1年不足2年，得2分；</w:t>
            </w:r>
          </w:p>
        </w:tc>
        <w:tc>
          <w:tcPr>
            <w:tcW w:w="209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5.医疗机构成立时间或法人经营时间不足1年，得1分。</w:t>
            </w:r>
          </w:p>
        </w:tc>
        <w:tc>
          <w:tcPr>
            <w:tcW w:w="209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restart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（二）、营业场所使用时间（5分）</w:t>
            </w: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1.经营场所为自有房产的，得5分；</w:t>
            </w:r>
          </w:p>
        </w:tc>
        <w:tc>
          <w:tcPr>
            <w:tcW w:w="2099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2.经营场所为租赁形式的，得3分；租赁合同过期的，不得分。</w:t>
            </w:r>
          </w:p>
        </w:tc>
        <w:tc>
          <w:tcPr>
            <w:tcW w:w="2099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76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二、服务能力（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28分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2401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（一）医疗保险定点情况（28分）</w:t>
            </w: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1.是医疗保险定点服务机构的，得28分；</w:t>
            </w:r>
          </w:p>
        </w:tc>
        <w:tc>
          <w:tcPr>
            <w:tcW w:w="2099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76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80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2.非医疗保险定点服务机构，但开设工伤保险医疗服务特色项目的，得14分。</w:t>
            </w:r>
          </w:p>
        </w:tc>
        <w:tc>
          <w:tcPr>
            <w:tcW w:w="2099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76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三、收费公开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（4分）</w:t>
            </w:r>
          </w:p>
        </w:tc>
        <w:tc>
          <w:tcPr>
            <w:tcW w:w="240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（一）费用清单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801" w:type="dxa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1.按规定提供药品、检查、治疗、服务收费清单的，得2分。</w:t>
            </w:r>
          </w:p>
        </w:tc>
        <w:tc>
          <w:tcPr>
            <w:tcW w:w="2099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766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（二）价格信息公示（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2分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801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1.设立公示屏牌，及时向群众公示药品和医疗服务价格信息及工伤保险支付标准的，得2分。</w:t>
            </w:r>
          </w:p>
        </w:tc>
        <w:tc>
          <w:tcPr>
            <w:tcW w:w="2099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/>
    <w:tbl>
      <w:tblPr>
        <w:tblStyle w:val="6"/>
        <w:tblW w:w="1499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3"/>
        <w:gridCol w:w="2395"/>
        <w:gridCol w:w="63"/>
        <w:gridCol w:w="7721"/>
        <w:gridCol w:w="75"/>
        <w:gridCol w:w="1985"/>
        <w:gridCol w:w="35"/>
        <w:gridCol w:w="933"/>
        <w:gridCol w:w="2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74" w:hRule="atLeast"/>
        </w:trPr>
        <w:tc>
          <w:tcPr>
            <w:tcW w:w="17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评估项目</w:t>
            </w:r>
          </w:p>
        </w:tc>
        <w:tc>
          <w:tcPr>
            <w:tcW w:w="2395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评估内容</w:t>
            </w:r>
          </w:p>
        </w:tc>
        <w:tc>
          <w:tcPr>
            <w:tcW w:w="7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评估标准</w:t>
            </w:r>
          </w:p>
        </w:tc>
        <w:tc>
          <w:tcPr>
            <w:tcW w:w="209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实地评估情况</w:t>
            </w:r>
          </w:p>
        </w:tc>
        <w:tc>
          <w:tcPr>
            <w:tcW w:w="93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6" w:hRule="atLeast"/>
        </w:trPr>
        <w:tc>
          <w:tcPr>
            <w:tcW w:w="17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四、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内部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管理（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26分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2395" w:type="dxa"/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（一）工伤保险管理（4分）</w:t>
            </w: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1.建立了与工伤保险管理相适应的内部组织管理制度，配备了专（兼）职管理人员、设备和办公场所，得4分。</w:t>
            </w:r>
          </w:p>
        </w:tc>
        <w:tc>
          <w:tcPr>
            <w:tcW w:w="2095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81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（二）环境卫生管理（16分）</w:t>
            </w: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1.医疗机构干净整洁，无乱贴乱挂；功能分区合理，每室独立；药品存放、保管符合药品的理化性能要求；营业、办公和仓储区域已分开或隔离，每项4分，四项全部合格得16分。</w:t>
            </w:r>
          </w:p>
        </w:tc>
        <w:tc>
          <w:tcPr>
            <w:tcW w:w="2095" w:type="dxa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82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2.医疗机构不够整洁干净或存在乱贴乱挂、功能分区不合理、药品存放、保管不符合药品的理化性能要求；营业、办公和仓储区域未分开或隔离的，每发现一项扣4分，扣至0分止。</w:t>
            </w:r>
          </w:p>
        </w:tc>
        <w:tc>
          <w:tcPr>
            <w:tcW w:w="209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58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（三）医患纠纷调解（2分）</w:t>
            </w: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1.建立健全医疗纠纷投诉和处理机构，并有专人负责，公布投诉电话、信箱，畅通投诉渠道，及时受理、处置患方投诉，得1-2分；否则不得分。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86" w:hRule="atLeast"/>
        </w:trPr>
        <w:tc>
          <w:tcPr>
            <w:tcW w:w="17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（四）便民服务</w:t>
            </w:r>
          </w:p>
          <w:p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（4分）</w:t>
            </w:r>
          </w:p>
        </w:tc>
        <w:tc>
          <w:tcPr>
            <w:tcW w:w="7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1.设立导诊台、触摸屏、指示牌、就医流程、专家姓名和联系方式的，得4分；无以上便民服务的不得分。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20" w:hRule="atLeast"/>
        </w:trPr>
        <w:tc>
          <w:tcPr>
            <w:tcW w:w="1761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五、财务管理</w:t>
            </w:r>
          </w:p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（16分）</w:t>
            </w:r>
          </w:p>
        </w:tc>
        <w:tc>
          <w:tcPr>
            <w:tcW w:w="23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（一）管理制度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（2分）</w:t>
            </w:r>
          </w:p>
        </w:tc>
        <w:tc>
          <w:tcPr>
            <w:tcW w:w="778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1.有健全和完善财务管理制度，对医疗机构财务活动进行全面管理，建立监督内控机制的，得1-2分。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31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（二）对药品、医用耗材的采购、验收、销售等环节实行计算机实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时</w:t>
            </w:r>
            <w:r>
              <w:rPr>
                <w:rFonts w:asciiTheme="minorEastAsia" w:hAnsiTheme="minorEastAsia"/>
                <w:sz w:val="24"/>
                <w:szCs w:val="24"/>
              </w:rPr>
              <w:t>管理情况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12分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1.已实时录入全部环节数据并可查询3个月以上时间的真实数据，得8-12分；</w:t>
            </w:r>
          </w:p>
        </w:tc>
        <w:tc>
          <w:tcPr>
            <w:tcW w:w="2095" w:type="dxa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2.已实时录入全部环节数据并可查询1至3个月以内的真实数据，得2-7分；</w:t>
            </w:r>
          </w:p>
        </w:tc>
        <w:tc>
          <w:tcPr>
            <w:tcW w:w="2095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1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3.已实时录入全部环节数据并可查询1个月以下时间的真实数据，得1分；</w:t>
            </w:r>
          </w:p>
        </w:tc>
        <w:tc>
          <w:tcPr>
            <w:tcW w:w="2095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22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95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4.分别抽查15-25个药品和医用耗材，进、销、存账物不符的，每发现一个品种扣1分，累计计算，最多扣12分。</w:t>
            </w:r>
          </w:p>
        </w:tc>
        <w:tc>
          <w:tcPr>
            <w:tcW w:w="2095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846" w:hRule="atLeast"/>
        </w:trPr>
        <w:tc>
          <w:tcPr>
            <w:tcW w:w="17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（三）财务结算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（2分）</w:t>
            </w:r>
          </w:p>
        </w:tc>
        <w:tc>
          <w:tcPr>
            <w:tcW w:w="7784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1.财务票据齐全、合法，且安装使用电子收费系统的，得1-2分。</w:t>
            </w:r>
          </w:p>
        </w:tc>
        <w:tc>
          <w:tcPr>
            <w:tcW w:w="2095" w:type="dxa"/>
            <w:gridSpan w:val="3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评估项目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评估内容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评估标准</w:t>
            </w:r>
          </w:p>
        </w:tc>
        <w:tc>
          <w:tcPr>
            <w:tcW w:w="198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实地评估情况</w:t>
            </w: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668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  <w:lang w:val="en-US" w:eastAsia="zh-CN"/>
              </w:rPr>
              <w:t>六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、信息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系统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6分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（一）医疗信息化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（3分）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1.对医疗服务过程实行全流程、一体化信息管理的，得3分，否则不得分。</w:t>
            </w:r>
          </w:p>
        </w:tc>
        <w:tc>
          <w:tcPr>
            <w:tcW w:w="1985" w:type="dxa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（二）联网结算能力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（3分）</w:t>
            </w:r>
          </w:p>
        </w:tc>
        <w:tc>
          <w:tcPr>
            <w:tcW w:w="779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1.能够适应工伤保险信息化建设要求，具有工伤保险就医联网结算能力，得3分，否则不得分。</w:t>
            </w:r>
          </w:p>
        </w:tc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668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参保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管理（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10分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（一）职工参加医疗保险情况（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1.全部在职员工在本单位参加医疗保险，并及时缴费，得5分；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2.90%以上含90%，不足100%的在职员工在本单位参加医疗保险，并及时缴费，得4分；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3.80%以上含80%，不足90%的在职员工在本单位参加医疗保险，并及时缴费，得3分；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4.70%以上含70%，不足80%的在职员工在本单位参加医疗保险，并及时缴费，得2分；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60%以上不足70%的在职员工在本单位参加医疗保险，并及时缴费，得1分；</w:t>
            </w:r>
          </w:p>
        </w:tc>
        <w:tc>
          <w:tcPr>
            <w:tcW w:w="1985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（二）职工参加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社会</w:t>
            </w:r>
            <w:r>
              <w:rPr>
                <w:rFonts w:asciiTheme="minorEastAsia" w:hAnsiTheme="minorEastAsia"/>
                <w:sz w:val="24"/>
                <w:szCs w:val="24"/>
              </w:rPr>
              <w:t>保险情况（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5分</w:t>
            </w:r>
            <w:r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1.全部在职员工在本单位参加社会保险，并及时缴费，得5分；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color="auto" w:sz="4" w:space="0"/>
            </w:tcBorders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2.90%以上含90%，不足100%的在职员工在本单位参加社会保险，并及时缴费，得4分；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3.80%以上含80%，不足90%的在职员工在本单位参加社会保险，并及时缴费，得3分；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4.70%以上含70%，不足80%的在职员工在本单位参加社会保险，并及时缴费，得2分；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668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5.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60%以上不足70%的在职员工在本单位参加社会保险，并及时缴费，得1分；</w:t>
            </w:r>
          </w:p>
        </w:tc>
        <w:tc>
          <w:tcPr>
            <w:tcW w:w="1985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eastAsia="zh-CN"/>
        </w:rPr>
        <w:t>总</w:t>
      </w:r>
      <w:r>
        <w:rPr>
          <w:rFonts w:ascii="黑体" w:hAnsi="黑体" w:eastAsia="黑体"/>
          <w:sz w:val="24"/>
          <w:szCs w:val="24"/>
        </w:rPr>
        <w:t>得分：</w:t>
      </w:r>
      <w:r>
        <w:rPr>
          <w:rFonts w:hint="eastAsia" w:ascii="黑体" w:hAnsi="黑体" w:eastAsia="黑体"/>
          <w:sz w:val="24"/>
          <w:szCs w:val="24"/>
        </w:rPr>
        <w:t xml:space="preserve"> </w:t>
      </w:r>
      <w:r>
        <w:rPr>
          <w:rFonts w:hint="eastAsia" w:ascii="黑体" w:hAnsi="黑体" w:eastAsia="黑体"/>
          <w:b/>
          <w:sz w:val="24"/>
          <w:szCs w:val="24"/>
          <w:u w:val="single"/>
        </w:rPr>
        <w:t xml:space="preserve">                   </w:t>
      </w:r>
      <w:r>
        <w:rPr>
          <w:rFonts w:hint="eastAsia" w:ascii="黑体" w:hAnsi="黑体" w:eastAsia="黑体"/>
          <w:sz w:val="24"/>
          <w:szCs w:val="24"/>
        </w:rPr>
        <w:t xml:space="preserve">       评估专家</w:t>
      </w:r>
      <w:r>
        <w:rPr>
          <w:rFonts w:hint="eastAsia" w:ascii="黑体" w:hAnsi="黑体" w:eastAsia="黑体"/>
          <w:sz w:val="24"/>
          <w:szCs w:val="24"/>
          <w:lang w:eastAsia="zh-CN"/>
        </w:rPr>
        <w:t>签字</w:t>
      </w:r>
      <w:r>
        <w:rPr>
          <w:rFonts w:hint="eastAsia" w:ascii="黑体" w:hAnsi="黑体" w:eastAsia="黑体"/>
          <w:sz w:val="24"/>
          <w:szCs w:val="24"/>
        </w:rPr>
        <w:t>（第三方机构）：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                          </w:t>
      </w:r>
      <w:r>
        <w:rPr>
          <w:rFonts w:hint="eastAsia" w:ascii="黑体" w:hAnsi="黑体" w:eastAsia="黑体"/>
          <w:sz w:val="24"/>
          <w:szCs w:val="24"/>
        </w:rPr>
        <w:t xml:space="preserve">   是否配合：是□    否□</w:t>
      </w:r>
    </w:p>
    <w:p>
      <w:pPr>
        <w:rPr>
          <w:rFonts w:ascii="黑体" w:hAnsi="黑体" w:eastAsia="黑体"/>
          <w:sz w:val="24"/>
          <w:szCs w:val="24"/>
        </w:rPr>
      </w:pPr>
    </w:p>
    <w:p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评估时间：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   </w:t>
      </w:r>
      <w:r>
        <w:rPr>
          <w:rFonts w:hint="eastAsia" w:ascii="黑体" w:hAnsi="黑体" w:eastAsia="黑体"/>
          <w:sz w:val="24"/>
          <w:szCs w:val="24"/>
        </w:rPr>
        <w:t>年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24"/>
        </w:rPr>
        <w:t>月</w:t>
      </w:r>
      <w:r>
        <w:rPr>
          <w:rFonts w:hint="eastAsia" w:ascii="黑体" w:hAnsi="黑体" w:eastAsia="黑体"/>
          <w:sz w:val="24"/>
          <w:szCs w:val="24"/>
          <w:u w:val="single"/>
        </w:rPr>
        <w:t xml:space="preserve">      </w:t>
      </w:r>
      <w:r>
        <w:rPr>
          <w:rFonts w:hint="eastAsia" w:ascii="黑体" w:hAnsi="黑体" w:eastAsia="黑体"/>
          <w:sz w:val="24"/>
          <w:szCs w:val="24"/>
        </w:rPr>
        <w:t>日                                     申报单位</w:t>
      </w:r>
      <w:r>
        <w:rPr>
          <w:rFonts w:hint="eastAsia" w:ascii="黑体" w:hAnsi="黑体" w:eastAsia="黑体"/>
          <w:sz w:val="24"/>
          <w:szCs w:val="24"/>
          <w:lang w:eastAsia="zh-CN"/>
        </w:rPr>
        <w:t>负责人</w:t>
      </w:r>
      <w:r>
        <w:rPr>
          <w:rFonts w:hint="eastAsia" w:ascii="黑体" w:hAnsi="黑体" w:eastAsia="黑体"/>
          <w:sz w:val="24"/>
          <w:szCs w:val="24"/>
        </w:rPr>
        <w:t>签字（盖章）：</w:t>
      </w:r>
    </w:p>
    <w:p>
      <w:pPr>
        <w:rPr>
          <w:rFonts w:ascii="黑体" w:hAnsi="黑体" w:eastAsia="黑体"/>
        </w:rPr>
      </w:pPr>
    </w:p>
    <w:sectPr>
      <w:pgSz w:w="16838" w:h="11906" w:orient="landscape"/>
      <w:pgMar w:top="851" w:right="1021" w:bottom="851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QwNWQxOWExYTA5ZjdiMjFlYjcxZTE5MDVkNjBlOGQifQ=="/>
  </w:docVars>
  <w:rsids>
    <w:rsidRoot w:val="00082D92"/>
    <w:rsid w:val="00066B36"/>
    <w:rsid w:val="00082D92"/>
    <w:rsid w:val="000B0490"/>
    <w:rsid w:val="000F1409"/>
    <w:rsid w:val="00112144"/>
    <w:rsid w:val="00123C4C"/>
    <w:rsid w:val="00163F06"/>
    <w:rsid w:val="001A3EB8"/>
    <w:rsid w:val="002724FE"/>
    <w:rsid w:val="002B234D"/>
    <w:rsid w:val="002E09B2"/>
    <w:rsid w:val="002E7EEE"/>
    <w:rsid w:val="003106AD"/>
    <w:rsid w:val="003715E1"/>
    <w:rsid w:val="00383946"/>
    <w:rsid w:val="00397238"/>
    <w:rsid w:val="003D5A21"/>
    <w:rsid w:val="003F51C9"/>
    <w:rsid w:val="003F5E22"/>
    <w:rsid w:val="00420003"/>
    <w:rsid w:val="004374D2"/>
    <w:rsid w:val="004D25BF"/>
    <w:rsid w:val="00522702"/>
    <w:rsid w:val="0052555B"/>
    <w:rsid w:val="00531C13"/>
    <w:rsid w:val="00551FCF"/>
    <w:rsid w:val="0055419F"/>
    <w:rsid w:val="00566343"/>
    <w:rsid w:val="006229CB"/>
    <w:rsid w:val="006251C7"/>
    <w:rsid w:val="006426DF"/>
    <w:rsid w:val="00660B8C"/>
    <w:rsid w:val="006758E7"/>
    <w:rsid w:val="00684C33"/>
    <w:rsid w:val="00690593"/>
    <w:rsid w:val="00691072"/>
    <w:rsid w:val="006A5101"/>
    <w:rsid w:val="006C65BC"/>
    <w:rsid w:val="006F0012"/>
    <w:rsid w:val="00723F56"/>
    <w:rsid w:val="0074748A"/>
    <w:rsid w:val="00764C59"/>
    <w:rsid w:val="007C2203"/>
    <w:rsid w:val="00824A7F"/>
    <w:rsid w:val="008E51B3"/>
    <w:rsid w:val="00927563"/>
    <w:rsid w:val="00946EDF"/>
    <w:rsid w:val="00962107"/>
    <w:rsid w:val="009D3D29"/>
    <w:rsid w:val="009E5A2A"/>
    <w:rsid w:val="009E6F36"/>
    <w:rsid w:val="00A337F7"/>
    <w:rsid w:val="00A74AAA"/>
    <w:rsid w:val="00AC2E7E"/>
    <w:rsid w:val="00B37DF9"/>
    <w:rsid w:val="00B76E86"/>
    <w:rsid w:val="00BA5D9F"/>
    <w:rsid w:val="00C20535"/>
    <w:rsid w:val="00C5199E"/>
    <w:rsid w:val="00CD02A9"/>
    <w:rsid w:val="00CD4E58"/>
    <w:rsid w:val="00CD5DC6"/>
    <w:rsid w:val="00CE58C1"/>
    <w:rsid w:val="00D1065F"/>
    <w:rsid w:val="00D17E64"/>
    <w:rsid w:val="00D24037"/>
    <w:rsid w:val="00E94D34"/>
    <w:rsid w:val="00EA0CE6"/>
    <w:rsid w:val="00EA3E64"/>
    <w:rsid w:val="00ED6FBB"/>
    <w:rsid w:val="00EF165E"/>
    <w:rsid w:val="00F672DB"/>
    <w:rsid w:val="00F97D6A"/>
    <w:rsid w:val="00FA6538"/>
    <w:rsid w:val="00FE5519"/>
    <w:rsid w:val="00FE6C9E"/>
    <w:rsid w:val="0D575EBF"/>
    <w:rsid w:val="141F7550"/>
    <w:rsid w:val="2F304EA7"/>
    <w:rsid w:val="723863D1"/>
    <w:rsid w:val="7DF6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1677</Words>
  <Characters>1792</Characters>
  <Lines>15</Lines>
  <Paragraphs>4</Paragraphs>
  <TotalTime>267</TotalTime>
  <ScaleCrop>false</ScaleCrop>
  <LinksUpToDate>false</LinksUpToDate>
  <CharactersWithSpaces>1944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2022-01-25T05:48:00Z</dcterms:created>
  <dc:creator>l</dc:creator>
  <cp:lastModifiedBy>Administrator</cp:lastModifiedBy>
  <cp:lastPrinted>2022-02-08T05:14:00Z</cp:lastPrinted>
  <dcterms:modified xsi:type="dcterms:W3CDTF">2024-06-13T00:42:08Z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  <property fmtid="{D5CDD505-2E9C-101B-9397-08002B2CF9AE}" pid="3" name="ICV">
    <vt:lpwstr>4C9A6ACCCDE648CA98867C6629A4D93C_12</vt:lpwstr>
  </property>
</Properties>
</file>